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cs="Calibri" w:cstheme="minorHAnsi"/>
          <w:b/>
          <w:b/>
          <w:bCs/>
          <w:iCs/>
          <w:sz w:val="32"/>
          <w:szCs w:val="32"/>
        </w:rPr>
      </w:pPr>
      <w:r>
        <w:rPr>
          <w:rFonts w:cs="Calibri" w:cstheme="minorHAnsi"/>
          <w:b/>
          <w:bCs/>
          <w:iCs/>
          <w:sz w:val="32"/>
          <w:szCs w:val="32"/>
        </w:rPr>
        <w:t>„</w:t>
      </w:r>
      <w:r>
        <w:rPr>
          <w:rFonts w:cs="Calibri" w:cstheme="minorHAnsi"/>
          <w:b/>
          <w:bCs/>
          <w:iCs/>
          <w:sz w:val="32"/>
          <w:szCs w:val="32"/>
        </w:rPr>
        <w:t>Pomoc obywatelom Ukrainy z niepełnosprawnością”</w:t>
      </w:r>
    </w:p>
    <w:p>
      <w:pPr>
        <w:pStyle w:val="Normal"/>
        <w:rPr>
          <w:rFonts w:cs="Calibri" w:cstheme="minorHAnsi"/>
          <w:b/>
          <w:b/>
          <w:bCs/>
          <w:iCs/>
          <w:sz w:val="32"/>
          <w:szCs w:val="32"/>
        </w:rPr>
      </w:pPr>
      <w:r>
        <w:rPr>
          <w:rFonts w:cs="Calibri" w:cstheme="minorHAnsi"/>
          <w:bCs/>
          <w:iCs/>
          <w:sz w:val="24"/>
          <w:szCs w:val="32"/>
        </w:rPr>
        <w:t xml:space="preserve">Wykona </w:t>
      </w:r>
      <w:r>
        <w:rPr>
          <w:rFonts w:cs="Calibri" w:cstheme="minorHAnsi"/>
          <w:sz w:val="24"/>
        </w:rPr>
        <w:t>działania w ramach zadania : w okresie</w:t>
      </w:r>
      <w:r>
        <w:rPr>
          <w:rFonts w:cs="Calibri" w:cstheme="minorHAnsi"/>
          <w:color w:val="C9211E"/>
          <w:sz w:val="24"/>
        </w:rPr>
        <w:t xml:space="preserve"> </w:t>
      </w:r>
      <w:r>
        <w:rPr>
          <w:rFonts w:cs="Calibri" w:cstheme="minorHAnsi"/>
          <w:b/>
          <w:bCs/>
          <w:color w:val="000000"/>
          <w:sz w:val="24"/>
        </w:rPr>
        <w:t xml:space="preserve">od </w:t>
      </w:r>
      <w:r>
        <w:rPr>
          <w:rFonts w:eastAsia="Calibri" w:cs="Calibri" w:cstheme="minorHAnsi"/>
          <w:b/>
          <w:bCs/>
          <w:color w:val="000000"/>
          <w:kern w:val="0"/>
          <w:sz w:val="24"/>
          <w:szCs w:val="22"/>
          <w:lang w:val="pl-PL" w:eastAsia="en-US" w:bidi="ar-SA"/>
        </w:rPr>
        <w:t>17.11</w:t>
      </w:r>
      <w:r>
        <w:rPr>
          <w:rFonts w:cs="Calibri" w:cstheme="minorHAnsi"/>
          <w:b/>
          <w:bCs/>
          <w:color w:val="000000"/>
          <w:sz w:val="24"/>
        </w:rPr>
        <w:t xml:space="preserve">.2025 do </w:t>
      </w:r>
      <w:r>
        <w:rPr>
          <w:rFonts w:eastAsia="Calibri" w:cs="Calibri" w:cstheme="minorHAnsi"/>
          <w:b/>
          <w:bCs/>
          <w:color w:val="000000"/>
          <w:kern w:val="0"/>
          <w:sz w:val="24"/>
          <w:szCs w:val="22"/>
          <w:lang w:val="pl-PL" w:eastAsia="en-US" w:bidi="ar-SA"/>
        </w:rPr>
        <w:t>28.02.2026</w:t>
      </w:r>
      <w:r>
        <w:rPr>
          <w:rFonts w:cs="Calibri" w:cstheme="minorHAnsi"/>
          <w:b/>
          <w:bCs/>
          <w:color w:val="000000"/>
          <w:sz w:val="24"/>
        </w:rPr>
        <w:t>.r</w:t>
      </w:r>
      <w:r>
        <w:rPr>
          <w:rFonts w:cs="Calibri" w:cstheme="minorHAnsi"/>
          <w:color w:val="C9211E"/>
          <w:sz w:val="24"/>
        </w:rPr>
        <w:t xml:space="preserve"> </w:t>
      </w:r>
    </w:p>
    <w:p>
      <w:pPr>
        <w:pStyle w:val="Normal"/>
        <w:spacing w:before="120" w:after="120"/>
        <w:ind w:left="340" w:hanging="0"/>
        <w:rPr>
          <w:rFonts w:cs="Calibri" w:cstheme="minorHAnsi"/>
          <w:sz w:val="24"/>
        </w:rPr>
      </w:pPr>
      <w:r>
        <w:rPr>
          <w:rFonts w:cs="Calibri" w:cstheme="minorHAnsi"/>
          <w:b/>
          <w:sz w:val="24"/>
        </w:rPr>
        <w:t>Grupą docelową zadania jest dziesięć  osób z niepełnosprawnością</w:t>
      </w:r>
      <w:r>
        <w:rPr>
          <w:rFonts w:cs="Calibri" w:cstheme="minorHAnsi"/>
          <w:sz w:val="24"/>
        </w:rPr>
        <w:t xml:space="preserve"> z Ukrainy,  którzy spełniają warunki pobytu na terytorium Polski na podstawie art. 2 ust.1 ustawy z dnia 12 marca 2022r.o pomocy obywatelom Ukrainy w związku z konfliktem zbrojnym na terytorium tego państwa. Osoby te posiadają dokument potwierdzający stopień niepełnosprawności wydany przez ukraiński system orzekania o niepełnosprawności lub oświadczenia /w razie braku dokumentu potwierdzającego stopień niepełnosprawności / dokumenty oraz oświadczenia są przetłumaczone na język polski. Niektóre osoby posiadają dodatkowo dokumenty wystawione przez polski system  orzekania o niepełnosprawności.</w:t>
      </w:r>
    </w:p>
    <w:p>
      <w:pPr>
        <w:pStyle w:val="Normal"/>
        <w:spacing w:before="120" w:after="120"/>
        <w:ind w:left="340" w:hanging="0"/>
        <w:rPr>
          <w:rFonts w:cs="Calibri" w:cstheme="minorHAnsi"/>
          <w:sz w:val="24"/>
        </w:rPr>
      </w:pPr>
      <w:r>
        <w:rPr>
          <w:rFonts w:cs="Calibri" w:cstheme="minorHAnsi"/>
          <w:sz w:val="24"/>
        </w:rPr>
        <w:t>Beneficjenci mają zapewnione zakwaterowanie,  pokoje hotelowe oraz całodzienne wyżywienie:</w:t>
      </w:r>
    </w:p>
    <w:p>
      <w:pPr>
        <w:pStyle w:val="Normal"/>
        <w:spacing w:before="120" w:after="120"/>
        <w:ind w:left="340" w:hanging="0"/>
        <w:rPr>
          <w:rFonts w:cs="Calibri" w:cstheme="minorHAnsi"/>
          <w:sz w:val="24"/>
        </w:rPr>
      </w:pPr>
      <w:r>
        <w:rPr>
          <w:rFonts w:cs="Calibri" w:cstheme="minorHAnsi"/>
          <w:sz w:val="24"/>
        </w:rPr>
        <w:t>- Art.22 pkt 1 i 2 ustawy z dnia 23 stycznia 2009r. o wojewodzie i administracji rządowej w województwie (Dz.U. z 2022 r. poz.135 z póź. zm)</w:t>
      </w:r>
    </w:p>
    <w:p>
      <w:pPr>
        <w:pStyle w:val="Normal"/>
        <w:spacing w:before="120" w:after="120"/>
        <w:ind w:left="340" w:hanging="0"/>
        <w:jc w:val="both"/>
        <w:rPr>
          <w:rFonts w:cs="Calibri" w:cstheme="minorHAnsi"/>
          <w:sz w:val="24"/>
        </w:rPr>
      </w:pPr>
      <w:r>
        <w:rPr>
          <w:rFonts w:cs="Calibri" w:cstheme="minorHAnsi"/>
          <w:sz w:val="24"/>
        </w:rPr>
        <w:t>- art. 12 ust. 1 i art. 14, w zw. z art. 14 ust. 6 c ustawy z dnia 12 marca 2022 r. o pomocy obywatelom Ukrainy w związku z konfliktem zbrojnym na terytorium tego państwa (Dz.U.z 2022r.poz.583 z póź. zm)</w:t>
      </w:r>
    </w:p>
    <w:p>
      <w:pPr>
        <w:pStyle w:val="Normal"/>
        <w:spacing w:before="120" w:after="120"/>
        <w:ind w:left="340" w:hanging="0"/>
        <w:rPr>
          <w:rFonts w:cs="Calibri" w:cstheme="minorHAnsi"/>
          <w:sz w:val="24"/>
        </w:rPr>
      </w:pPr>
      <w:r>
        <w:rPr>
          <w:rFonts w:cs="Calibri" w:cstheme="minorHAnsi"/>
          <w:sz w:val="24"/>
        </w:rPr>
        <w:t>W ramach zadania będą  prowadzone  zajęcia  indywidualne i grupowe, utrwalanie , nabywanie i  rozwijanie umiejętności niezbędnych do samodzielnego funkcjonowania.</w:t>
      </w:r>
    </w:p>
    <w:p>
      <w:pPr>
        <w:pStyle w:val="Normal"/>
        <w:spacing w:before="120" w:after="120"/>
        <w:ind w:left="340" w:hanging="0"/>
        <w:rPr>
          <w:rFonts w:cs="Calibri" w:cstheme="minorHAnsi"/>
          <w:sz w:val="24"/>
        </w:rPr>
      </w:pPr>
      <w:r>
        <w:rPr>
          <w:rFonts w:cs="Calibri" w:cstheme="minorHAnsi"/>
          <w:b/>
          <w:sz w:val="24"/>
        </w:rPr>
        <w:t>Prowadzona będzie rehabilitacja  przez fizjoterapeutę</w:t>
      </w:r>
      <w:r>
        <w:rPr>
          <w:rFonts w:cs="Calibri" w:cstheme="minorHAnsi"/>
          <w:sz w:val="24"/>
        </w:rPr>
        <w:t xml:space="preserve">  z wcześniejszym ustalonym indywidualnym planem rehabilitacji dla każdego beneficjenta  ze wsparciem opieki pielęgniarki  z wykorzystaniem sprzętu w postaci bieżni elektrycznej, orbitreku , roweru pionowego stacjonarnego , ekopompy,  aquavibronu, urządzenia do masażu wirowego kończyn górnych, urządzenia do masażu wirowego kończyn dolnych, roweru treningowego poziomego, aparatu do terapii ultradźwiękowej laserowej, aparatu do magnetoterapii, aparatu do elektroterapii, aparatu do drenażu limfatycznego oraz   dwóch stołów rehabilitacyjnych, lampy Sllux .</w:t>
      </w:r>
    </w:p>
    <w:p>
      <w:pPr>
        <w:pStyle w:val="Normal"/>
        <w:spacing w:before="120" w:after="120"/>
        <w:ind w:left="340" w:hanging="0"/>
        <w:rPr>
          <w:rFonts w:ascii="Calibri" w:hAnsi="Calibri" w:eastAsia="Times New Roman" w:cs="Calibri"/>
          <w:sz w:val="24"/>
          <w:szCs w:val="24"/>
          <w:lang w:eastAsia="pl-PL"/>
        </w:rPr>
      </w:pPr>
      <w:r>
        <w:rPr>
          <w:rFonts w:eastAsia="Times New Roman" w:cs="Calibri"/>
          <w:b/>
          <w:sz w:val="24"/>
          <w:szCs w:val="24"/>
          <w:lang w:eastAsia="pl-PL"/>
        </w:rPr>
        <w:t xml:space="preserve">Działania z zakresu wsparcia  wykwalifikowanej pielęgniarki </w:t>
      </w:r>
      <w:r>
        <w:rPr>
          <w:rFonts w:eastAsia="Times New Roman" w:cs="Calibri"/>
          <w:sz w:val="24"/>
          <w:szCs w:val="24"/>
          <w:lang w:eastAsia="pl-PL"/>
        </w:rPr>
        <w:t xml:space="preserve">  będą miały na celu  rozpoznanie i ocenę  stanu zdrowia beneficjenta programu, wdrożenie profilaktyki i opieki zdrowotnej w zależności od wymogów chorobowych uczestnika. Monitorowanie </w:t>
      </w:r>
      <w:bookmarkStart w:id="0" w:name="_GoBack"/>
      <w:bookmarkEnd w:id="0"/>
      <w:r>
        <w:rPr>
          <w:rFonts w:eastAsia="Times New Roman" w:cs="Calibri"/>
          <w:sz w:val="24"/>
          <w:szCs w:val="24"/>
          <w:lang w:eastAsia="pl-PL"/>
        </w:rPr>
        <w:t>stanu zdrowia beneficjenta  przy każdej wizycie pielęgniarskiej, kontrolowanie jego parametrów życiowych (mierzenie tętna, ciśnienia tętniczego krwi,  temperatury, glukozy) oraz ocena zgłaszanych dolegliwości chorobowych przez uczestników . W przypadku zaobserwowania niepokojących objawów chorobowych  zostaną umówione konsultacje z lekarzem pierwszego kontaktu. Pielęgniarka będzie umawiać  i przygotowywać beneficjentów do wykonania zleconych badań i  konsultacji specjalistycznych w zakładzie opieki zdrowotnej. Prowadzenie  profilaktyki edukacyjnej dotyczącej skutków nieprawidłowego przyjmowania leków lub przerwania leczenia. Pielęgniarka podczas zajęć z fizjoterapeutą będzie przekazywać informacje na temat profilaktyki oraz zaleceń po zabiegach fizjoterapeutycznych oraz zdrowego stylu życia. Pielęgniarka współpracuje również z tłumaczem języka ukraińskiego w zakresie precyzyjnego pozyskiwania i przekazywania informacji odnoście stanu zdrowia beneficjentów zadania.</w:t>
      </w:r>
    </w:p>
    <w:p>
      <w:pPr>
        <w:pStyle w:val="Normal"/>
        <w:spacing w:before="120" w:after="120"/>
        <w:ind w:left="340" w:hanging="0"/>
        <w:rPr>
          <w:rFonts w:eastAsia="" w:cs="Calibri" w:cstheme="minorHAnsi" w:eastAsiaTheme="majorEastAsia"/>
          <w:sz w:val="24"/>
        </w:rPr>
      </w:pPr>
      <w:r>
        <w:rPr>
          <w:rFonts w:cs="Calibri" w:cstheme="minorHAnsi"/>
          <w:b/>
          <w:sz w:val="24"/>
        </w:rPr>
        <w:t>Wsparcie tłumacza języka ukraińskiego</w:t>
      </w:r>
      <w:r>
        <w:rPr>
          <w:rFonts w:cs="Calibri" w:cstheme="minorHAnsi"/>
          <w:sz w:val="24"/>
        </w:rPr>
        <w:t xml:space="preserve"> jest dużym ułatwieniem w relacjach i  kontakcie z uczestnikami. Pomoc tłumacza w precyzyjnym przekazywaniu informacji dotyczących: pobytu w naszym ośrodku, uczestnictwa w programie dla osób z Ukrainy z niepełnosprawnością, załatwianiu spraw urzędowych, tłumaczenia dokumentacji medycznej związanej ze stanem zdrowia uczestników, pomocy w kontakcie u lekarza jest podstawowym  zakresem pracy i wsparcia skierowanych do uczestników zadania.</w:t>
      </w:r>
    </w:p>
    <w:p>
      <w:pPr>
        <w:pStyle w:val="Normal"/>
        <w:spacing w:before="120" w:after="120"/>
        <w:ind w:left="340" w:hanging="0"/>
        <w:rPr>
          <w:rFonts w:cs="Calibri" w:cstheme="minorHAnsi"/>
          <w:sz w:val="24"/>
        </w:rPr>
      </w:pPr>
      <w:r>
        <w:rPr>
          <w:rFonts w:cs="Calibri" w:cstheme="minorHAnsi"/>
          <w:b/>
          <w:sz w:val="24"/>
        </w:rPr>
        <w:t>Pomoc psychologa</w:t>
      </w:r>
      <w:r>
        <w:rPr>
          <w:rFonts w:cs="Calibri" w:cstheme="minorHAnsi"/>
          <w:sz w:val="24"/>
        </w:rPr>
        <w:t xml:space="preserve"> we współpracy z tłumaczem języka ukraińskiego jest nieodzownym elementem budowania poczucia bezpieczeństwa i spokoju. Zmiana postaw uczestników, poznanie i zrozumienie ich przeżyć  i analiza na przestrzeni historii  ich życia oraz zdefiniowanie pragnień i lęków, które jest działaniem procesem długotrwałym.  </w:t>
      </w:r>
    </w:p>
    <w:p>
      <w:pPr>
        <w:pStyle w:val="Normal"/>
        <w:spacing w:before="120" w:after="120"/>
        <w:ind w:left="340" w:hanging="0"/>
        <w:rPr>
          <w:rFonts w:cs="Calibri" w:cstheme="minorHAnsi"/>
          <w:sz w:val="24"/>
        </w:rPr>
      </w:pPr>
      <w:r>
        <w:rPr>
          <w:rFonts w:cs="Calibri" w:cstheme="minorHAnsi"/>
          <w:b/>
          <w:sz w:val="24"/>
        </w:rPr>
        <w:t>Zaplanowana terapia zajęciowa</w:t>
      </w:r>
      <w:r>
        <w:rPr>
          <w:rFonts w:cs="Calibri" w:cstheme="minorHAnsi"/>
          <w:sz w:val="24"/>
        </w:rPr>
        <w:t xml:space="preserve"> poprzez swoje działania  z ergoterapii, muzykoterapii, socjoterapii służy  wsparciu uczestników zadania. Pomaga  w społecznej  integracji z innymi osobami niepełnosprawnymi. Pokazując formę wsparcia jaką otrzymują osoby z niepełnosprawnościami w Polsce poprzez uczestnictwo w zajęciach  w  Warsztacie Terapii Zajęciowej. Działania  integracyjne w postaci tych spotkań zapoznawczych  wykonują terapeuci zajęciowi. Zajęcia  socjoterapeutyczne mają  na celu doskonalenie umiejętności ruchowych, komunikowania się, poprawę codziennej aktywności oraz samodzielnego gospodarowania czasem wolnym a także możliwości nauki pełnienia nowych ról w życiu. Zajęcia ergoterapeutyczne  będą  ułatwiały opanowanie podstawowych czynności manualnych, koordynacji wzrokowo-ruchowej oraz  grafomotoryki. Pomoże to w przygotowaniu beneficjenta do wykonywania różnego rodzaju prac, na miarę swoich możliwości, z uwzględnieniem ograniczeń fizycznych. </w:t>
      </w:r>
    </w:p>
    <w:p>
      <w:pPr>
        <w:pStyle w:val="Normal"/>
        <w:spacing w:before="120" w:after="120"/>
        <w:ind w:left="340" w:hanging="0"/>
        <w:rPr>
          <w:rFonts w:cs="Calibri" w:cstheme="minorHAnsi"/>
          <w:sz w:val="24"/>
        </w:rPr>
      </w:pPr>
      <w:r>
        <w:rPr>
          <w:rFonts w:cs="Calibri" w:cstheme="minorHAnsi"/>
          <w:b/>
          <w:sz w:val="24"/>
        </w:rPr>
        <w:t>Zakup potrzebnych materiałów umożliwi</w:t>
      </w:r>
      <w:r>
        <w:rPr>
          <w:rFonts w:cs="Calibri" w:cstheme="minorHAnsi"/>
          <w:sz w:val="24"/>
        </w:rPr>
        <w:t xml:space="preserve"> przeprowadzenie  zajęć grupowych na których będą wykonywane różnego rodzaju aktywności  i zajęcia: wikliniarstwo, zdobnictwo, malarstwo, rękodzieło, itp. oraz czynności dnia codziennego.  </w:t>
      </w:r>
    </w:p>
    <w:p>
      <w:pPr>
        <w:pStyle w:val="Normal"/>
        <w:spacing w:before="120" w:after="120"/>
        <w:ind w:left="340" w:hanging="0"/>
        <w:rPr>
          <w:rFonts w:cs="Calibri" w:cstheme="minorHAnsi"/>
          <w:sz w:val="24"/>
        </w:rPr>
      </w:pPr>
      <w:r>
        <w:rPr>
          <w:rFonts w:cs="Calibri" w:cstheme="minorHAnsi"/>
          <w:b/>
          <w:sz w:val="24"/>
        </w:rPr>
        <w:t>Zapewnienie bezpieczeństwa oraz czynności  opiekuńczych  przez czterech  asystentów</w:t>
      </w:r>
      <w:r>
        <w:rPr>
          <w:rFonts w:cs="Calibri" w:cstheme="minorHAnsi"/>
          <w:sz w:val="24"/>
        </w:rPr>
        <w:t xml:space="preserve"> osób niepełnosprawnych w systemie pracy dwuzmianowej, pomoże w codziennym funkcjonowaniu, dbaniu o  higienę osobistą,  przygotowaniu posiłku,  systematyczności przyjmowania leków i w utrzymaniu czystości pomieszczeń. Codzienny kontakt z asystentem osoby niepełnosprawnej jest wsparciem</w:t>
      </w:r>
      <w:r>
        <w:rPr>
          <w:sz w:val="24"/>
        </w:rPr>
        <w:t xml:space="preserve">  dla </w:t>
      </w:r>
      <w:r>
        <w:rPr>
          <w:rFonts w:cs="Calibri" w:cstheme="minorHAnsi"/>
          <w:sz w:val="24"/>
        </w:rPr>
        <w:t xml:space="preserve">każdego beneficjenta w utrzymaniu  wiary we własne możliwości,  aktywizowaniu go do samodzielnego życia, oraz właściwego komunikowania się z otoczeniem w którym się znajduje . Pomoc i asystowanie w przemieszczaniu się po za miejscem zamieszkania oraz w załatwianiu potrzebnych  spraw  urzędowych, zabiegów rehabilitacyjnych, ćwiczeń fizjoterapeutycznych i wizyt u lekarzy specjalistów, są to czynności wynikające z potrzeb beneficjentów programu.  </w:t>
      </w:r>
    </w:p>
    <w:p>
      <w:pPr>
        <w:pStyle w:val="Normal"/>
        <w:spacing w:before="120" w:after="120"/>
        <w:ind w:left="340" w:hanging="0"/>
        <w:rPr>
          <w:rFonts w:cs="Calibri" w:cstheme="minorHAnsi"/>
          <w:sz w:val="24"/>
        </w:rPr>
      </w:pPr>
      <w:r>
        <w:rPr>
          <w:rFonts w:cs="Calibri" w:cstheme="minorHAnsi"/>
          <w:b/>
          <w:sz w:val="24"/>
        </w:rPr>
        <w:t>Zapewnienie  usługi transportowe</w:t>
      </w:r>
      <w:r>
        <w:rPr>
          <w:rFonts w:cs="Calibri" w:cstheme="minorHAnsi"/>
          <w:sz w:val="24"/>
        </w:rPr>
        <w:t>j. Podstawowym zadaniem świadczenia usługi będzie przewóz  beneficjentów zadania  do zakładów opieki zdrowotnej, lekarzy specjalistów, urzędów gminnych i powiatowych celem załatwienia spraw związanych z pobytem w Polsce.</w:t>
      </w:r>
    </w:p>
    <w:p>
      <w:pPr>
        <w:pStyle w:val="Normal"/>
        <w:spacing w:before="120" w:after="120"/>
        <w:ind w:left="340" w:hanging="0"/>
        <w:rPr>
          <w:rFonts w:cs="Calibri" w:cstheme="minorHAnsi"/>
          <w:b/>
          <w:b/>
          <w:sz w:val="24"/>
        </w:rPr>
      </w:pPr>
      <w:r>
        <w:rPr>
          <w:rFonts w:cs="Calibri" w:cstheme="minorHAnsi"/>
          <w:b/>
          <w:sz w:val="24"/>
        </w:rPr>
        <w:t xml:space="preserve">Zapewnienie potrzeb w zakresie noclegu i zakwaterowania </w:t>
      </w:r>
    </w:p>
    <w:p>
      <w:pPr>
        <w:pStyle w:val="Normal"/>
        <w:spacing w:before="120" w:after="120"/>
        <w:ind w:left="340" w:hanging="0"/>
        <w:rPr>
          <w:sz w:val="24"/>
        </w:rPr>
      </w:pPr>
      <w:r>
        <w:rPr>
          <w:sz w:val="24"/>
        </w:rPr>
        <w:t xml:space="preserve">• </w:t>
      </w:r>
      <w:r>
        <w:rPr>
          <w:sz w:val="24"/>
        </w:rPr>
        <w:t xml:space="preserve">zakup pościeli i niezbędnego wyposażenia, </w:t>
      </w:r>
    </w:p>
    <w:p>
      <w:pPr>
        <w:pStyle w:val="Normal"/>
        <w:spacing w:before="120" w:after="120"/>
        <w:ind w:left="340" w:hanging="0"/>
        <w:rPr>
          <w:sz w:val="24"/>
        </w:rPr>
      </w:pPr>
      <w:r>
        <w:rPr>
          <w:sz w:val="24"/>
        </w:rPr>
        <w:t xml:space="preserve"> • </w:t>
      </w:r>
      <w:r>
        <w:rPr>
          <w:sz w:val="24"/>
        </w:rPr>
        <w:t xml:space="preserve">wyposażenia kuchni w niezbędny sprzęt gospodarstwa domowego (małe agd), </w:t>
      </w:r>
    </w:p>
    <w:p>
      <w:pPr>
        <w:pStyle w:val="Normal"/>
        <w:spacing w:before="120" w:after="120"/>
        <w:ind w:left="340" w:hanging="0"/>
        <w:rPr>
          <w:sz w:val="24"/>
        </w:rPr>
      </w:pPr>
      <w:r>
        <w:rPr>
          <w:sz w:val="24"/>
        </w:rPr>
        <w:t xml:space="preserve">• </w:t>
      </w:r>
      <w:r>
        <w:rPr>
          <w:sz w:val="24"/>
        </w:rPr>
        <w:t xml:space="preserve">zakup mebli do wyposażenia kuchni, </w:t>
      </w:r>
    </w:p>
    <w:p>
      <w:pPr>
        <w:pStyle w:val="Normal"/>
        <w:spacing w:before="120" w:after="120"/>
        <w:ind w:left="340" w:hanging="0"/>
        <w:rPr>
          <w:sz w:val="24"/>
        </w:rPr>
      </w:pPr>
      <w:r>
        <w:rPr>
          <w:sz w:val="24"/>
        </w:rPr>
        <w:t xml:space="preserve">• </w:t>
      </w:r>
      <w:r>
        <w:rPr>
          <w:sz w:val="24"/>
        </w:rPr>
        <w:t xml:space="preserve">zakup kuchenki gazowej wraz z butlą, lodówki, </w:t>
      </w:r>
    </w:p>
    <w:p>
      <w:pPr>
        <w:pStyle w:val="Normal"/>
        <w:spacing w:before="120" w:after="120"/>
        <w:ind w:left="340" w:hanging="0"/>
        <w:rPr>
          <w:sz w:val="24"/>
        </w:rPr>
      </w:pPr>
      <w:r>
        <w:rPr>
          <w:sz w:val="24"/>
        </w:rPr>
        <w:t xml:space="preserve"> • </w:t>
      </w:r>
      <w:r>
        <w:rPr>
          <w:sz w:val="24"/>
        </w:rPr>
        <w:t xml:space="preserve">zakup pralki automatycznej, </w:t>
      </w:r>
    </w:p>
    <w:p>
      <w:pPr>
        <w:pStyle w:val="Normal"/>
        <w:spacing w:before="120" w:after="120"/>
        <w:ind w:left="340" w:hanging="0"/>
        <w:rPr>
          <w:sz w:val="24"/>
        </w:rPr>
      </w:pPr>
      <w:r>
        <w:rPr>
          <w:sz w:val="24"/>
        </w:rPr>
        <w:t xml:space="preserve">• </w:t>
      </w:r>
      <w:r>
        <w:rPr>
          <w:sz w:val="24"/>
        </w:rPr>
        <w:t xml:space="preserve">środki czystości, </w:t>
      </w:r>
    </w:p>
    <w:p>
      <w:pPr>
        <w:pStyle w:val="Normal"/>
        <w:spacing w:before="120" w:after="120"/>
        <w:ind w:left="340" w:hanging="0"/>
        <w:rPr>
          <w:rFonts w:cs="Calibri" w:cstheme="minorHAnsi"/>
          <w:sz w:val="28"/>
        </w:rPr>
      </w:pPr>
      <w:r>
        <w:rPr>
          <w:sz w:val="24"/>
        </w:rPr>
        <w:t xml:space="preserve">• </w:t>
      </w:r>
      <w:r>
        <w:rPr>
          <w:sz w:val="24"/>
        </w:rPr>
        <w:t xml:space="preserve">zakup środków higienicznych i pielęgnacyjnych, ręczniki i inne artykuły pierwszej potrzeby niezbędne do bieżącego funkcjonowania, </w:t>
      </w:r>
    </w:p>
    <w:p>
      <w:pPr>
        <w:pStyle w:val="Normal"/>
        <w:spacing w:before="0" w:after="200"/>
        <w:rPr>
          <w:sz w:val="28"/>
        </w:rPr>
      </w:pPr>
      <w:r>
        <w:rPr/>
      </w:r>
    </w:p>
    <w:sectPr>
      <w:type w:val="nextPage"/>
      <w:pgSz w:w="11906" w:h="16838"/>
      <w:pgMar w:left="1417" w:right="1417" w:header="0" w:top="1417" w:footer="0" w:bottom="1417"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s>
</file>

<file path=word/settings.xml><?xml version="1.0" encoding="utf-8"?>
<w:settings xmlns:w="http://schemas.openxmlformats.org/wordprocessingml/2006/main">
  <w:zoom w:percent="150"/>
  <w:defaultTabStop w:val="708"/>
  <w:autoHyphenation w:val="true"/>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d6a9f"/>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Znakiwypunktowania">
    <w:name w:val="Znaki wypunktowania"/>
    <w:qFormat/>
    <w:rPr>
      <w:rFonts w:ascii="OpenSymbol" w:hAnsi="OpenSymbol" w:eastAsia="OpenSymbol" w:cs="OpenSymbol"/>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rsid w:val="00c66712"/>
    <w:pPr>
      <w:spacing w:before="0" w:after="140"/>
    </w:pPr>
    <w:rPr/>
  </w:style>
  <w:style w:type="paragraph" w:styleId="Lista">
    <w:name w:val="List"/>
    <w:basedOn w:val="Tretekstu"/>
    <w:rsid w:val="00c66712"/>
    <w:pPr/>
    <w:rPr>
      <w:rFonts w:cs="Arial"/>
    </w:rPr>
  </w:style>
  <w:style w:type="paragraph" w:styleId="Podpis" w:customStyle="1">
    <w:name w:val="Caption"/>
    <w:basedOn w:val="Normal"/>
    <w:qFormat/>
    <w:rsid w:val="00c66712"/>
    <w:pPr>
      <w:suppressLineNumbers/>
      <w:spacing w:before="120" w:after="120"/>
    </w:pPr>
    <w:rPr>
      <w:rFonts w:cs="Arial"/>
      <w:i/>
      <w:iCs/>
      <w:sz w:val="24"/>
      <w:szCs w:val="24"/>
    </w:rPr>
  </w:style>
  <w:style w:type="paragraph" w:styleId="Indeks" w:customStyle="1">
    <w:name w:val="Indeks"/>
    <w:basedOn w:val="Normal"/>
    <w:qFormat/>
    <w:rsid w:val="00c66712"/>
    <w:pPr>
      <w:suppressLineNumbers/>
    </w:pPr>
    <w:rPr>
      <w:rFonts w:cs="Arial"/>
    </w:rPr>
  </w:style>
  <w:style w:type="paragraph" w:styleId="Gwkaistopka">
    <w:name w:val="Główka i stopka"/>
    <w:basedOn w:val="Normal"/>
    <w:qFormat/>
    <w:pPr/>
    <w:rPr/>
  </w:style>
  <w:style w:type="paragraph" w:styleId="Gwka">
    <w:name w:val="Header"/>
    <w:basedOn w:val="Normal"/>
    <w:next w:val="Tretekstu"/>
    <w:qFormat/>
    <w:rsid w:val="00c66712"/>
    <w:pPr>
      <w:keepNext w:val="true"/>
      <w:spacing w:before="240" w:after="120"/>
    </w:pPr>
    <w:rPr>
      <w:rFonts w:ascii="Liberation Sans" w:hAnsi="Liberation Sans" w:eastAsia="Microsoft YaHei" w:cs="Arial"/>
      <w:sz w:val="28"/>
      <w:szCs w:val="28"/>
    </w:rPr>
  </w:style>
  <w:style w:type="numbering" w:styleId="NoList" w:default="1">
    <w:name w:val="No List"/>
    <w:uiPriority w:val="99"/>
    <w:semiHidden/>
    <w:unhideWhenUsed/>
    <w:qFormat/>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Application>LibreOffice/6.4.2.2$Windows_X86_64 LibreOffice_project/4e471d8c02c9c90f512f7f9ead8875b57fcb1ec3</Application>
  <Pages>3</Pages>
  <Words>821</Words>
  <Characters>5844</Characters>
  <CharactersWithSpaces>6719</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2025-01-17T13:01:00Z</dcterms:created>
  <dc:creator>pzaz</dc:creator>
  <dc:description/>
  <dc:language>pl-PL</dc:language>
  <cp:lastModifiedBy/>
  <cp:lastPrinted>2025-01-23T13:05:47Z</cp:lastPrinted>
  <dcterms:modified xsi:type="dcterms:W3CDTF">2025-10-16T14:58:22Z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